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BE7F" w14:textId="26E69BD7" w:rsidR="00A27620" w:rsidRPr="00504C4D" w:rsidRDefault="00E12714" w:rsidP="00B43B70">
      <w:pPr>
        <w:rPr>
          <w:b/>
          <w:color w:val="444444"/>
          <w:sz w:val="28"/>
        </w:rPr>
      </w:pPr>
      <w:bookmarkStart w:id="0" w:name="_GoBack"/>
      <w:bookmarkEnd w:id="0"/>
      <w:r w:rsidRPr="00504C4D">
        <w:rPr>
          <w:b/>
          <w:color w:val="444444"/>
          <w:sz w:val="28"/>
        </w:rPr>
        <w:t>Fact Sheet</w:t>
      </w:r>
      <w:r w:rsidR="00504C4D">
        <w:rPr>
          <w:b/>
          <w:color w:val="444444"/>
          <w:sz w:val="28"/>
        </w:rPr>
        <w:t>:</w:t>
      </w:r>
      <w:r w:rsidRPr="00504C4D">
        <w:rPr>
          <w:b/>
          <w:color w:val="444444"/>
          <w:sz w:val="28"/>
        </w:rPr>
        <w:t xml:space="preserve"> </w:t>
      </w:r>
      <w:r w:rsidR="00504C4D" w:rsidRPr="00504C4D">
        <w:rPr>
          <w:b/>
          <w:color w:val="444444"/>
          <w:sz w:val="28"/>
        </w:rPr>
        <w:t xml:space="preserve">Provider Relief Fund </w:t>
      </w:r>
      <w:r w:rsidRPr="00504C4D">
        <w:rPr>
          <w:b/>
          <w:color w:val="444444"/>
          <w:sz w:val="28"/>
        </w:rPr>
        <w:t>General Distribution 2</w:t>
      </w:r>
      <w:r w:rsidR="00A27620" w:rsidRPr="00504C4D">
        <w:rPr>
          <w:b/>
          <w:color w:val="444444"/>
          <w:sz w:val="28"/>
        </w:rPr>
        <w:t xml:space="preserve"> </w:t>
      </w:r>
    </w:p>
    <w:p w14:paraId="4DD574B6" w14:textId="77F53F4C" w:rsidR="00E12714" w:rsidRDefault="00E12714" w:rsidP="00B43B70">
      <w:pPr>
        <w:rPr>
          <w:color w:val="444444"/>
        </w:rPr>
      </w:pPr>
    </w:p>
    <w:p w14:paraId="168A4FA8" w14:textId="77777777" w:rsidR="00504C4D" w:rsidRDefault="00504C4D" w:rsidP="00B43B70">
      <w:pPr>
        <w:rPr>
          <w:color w:val="444444"/>
        </w:rPr>
      </w:pPr>
    </w:p>
    <w:p w14:paraId="69AB2217" w14:textId="21E30D6B" w:rsidR="006978CE" w:rsidRPr="00E12714" w:rsidRDefault="006978CE" w:rsidP="00B43B70">
      <w:pPr>
        <w:shd w:val="clear" w:color="auto" w:fill="FFFFFF"/>
        <w:rPr>
          <w:color w:val="444444"/>
        </w:rPr>
      </w:pPr>
      <w:r w:rsidRPr="00E12714">
        <w:rPr>
          <w:color w:val="444444"/>
        </w:rPr>
        <w:t xml:space="preserve">President Trump is providing support to healthcare providers fighting the COVID-19 pandemic through the bipartisan CARES Act that provides $100 billion in relief funds to hospitals and other healthcare providers </w:t>
      </w:r>
      <w:r w:rsidR="00FF0BBF" w:rsidRPr="00E12714">
        <w:rPr>
          <w:color w:val="444444"/>
        </w:rPr>
        <w:t xml:space="preserve">impacted by the </w:t>
      </w:r>
      <w:r w:rsidRPr="00E12714">
        <w:rPr>
          <w:color w:val="444444"/>
        </w:rPr>
        <w:t>coronavirus response. This funding will be used to support healthcare-related expenses or lost revenue attributable to COVID-19 and to ensure uninsured Americans can get treatment for COVID-19.</w:t>
      </w:r>
    </w:p>
    <w:p w14:paraId="6547BBFF" w14:textId="77777777" w:rsidR="000F633B" w:rsidRPr="00E12714" w:rsidRDefault="000F633B" w:rsidP="00B43B70">
      <w:pPr>
        <w:shd w:val="clear" w:color="auto" w:fill="FFFFFF"/>
        <w:rPr>
          <w:color w:val="444444"/>
        </w:rPr>
      </w:pPr>
    </w:p>
    <w:p w14:paraId="0C041835" w14:textId="11F6FD1A" w:rsidR="006978CE" w:rsidRPr="00E12714" w:rsidRDefault="006978CE" w:rsidP="00B43B70">
      <w:pPr>
        <w:shd w:val="clear" w:color="auto" w:fill="FFFFFF"/>
        <w:rPr>
          <w:color w:val="444444"/>
        </w:rPr>
      </w:pPr>
      <w:r w:rsidRPr="00E12714">
        <w:rPr>
          <w:color w:val="444444"/>
        </w:rPr>
        <w:t>In allocating the funds, the Administration is working</w:t>
      </w:r>
      <w:r w:rsidR="00BE4E7B" w:rsidRPr="00E12714">
        <w:rPr>
          <w:color w:val="444444"/>
        </w:rPr>
        <w:t>, among other things,</w:t>
      </w:r>
      <w:r w:rsidRPr="00E12714">
        <w:rPr>
          <w:color w:val="444444"/>
        </w:rPr>
        <w:t xml:space="preserve"> to address both the economic harm across the entire healthcare system due to the stoppage of elective procedures, </w:t>
      </w:r>
      <w:r w:rsidR="000F1573" w:rsidRPr="00E12714">
        <w:rPr>
          <w:color w:val="444444"/>
        </w:rPr>
        <w:t>as well as</w:t>
      </w:r>
      <w:r w:rsidRPr="00E12714">
        <w:rPr>
          <w:color w:val="444444"/>
        </w:rPr>
        <w:t xml:space="preserve"> the economic impact on providers incurring additional expenses caring for COVID-19 patients, and to do so a</w:t>
      </w:r>
      <w:r w:rsidR="004937AD" w:rsidRPr="00E12714">
        <w:rPr>
          <w:color w:val="444444"/>
        </w:rPr>
        <w:t>s</w:t>
      </w:r>
      <w:r w:rsidRPr="00E12714">
        <w:rPr>
          <w:color w:val="444444"/>
        </w:rPr>
        <w:t xml:space="preserve"> transparently as possible.</w:t>
      </w:r>
    </w:p>
    <w:p w14:paraId="14215251" w14:textId="77777777" w:rsidR="006978CE" w:rsidRPr="00E12714" w:rsidRDefault="006978CE" w:rsidP="00B43B70">
      <w:pPr>
        <w:shd w:val="clear" w:color="auto" w:fill="FFFFFF"/>
        <w:rPr>
          <w:b/>
          <w:color w:val="444444"/>
        </w:rPr>
      </w:pPr>
    </w:p>
    <w:p w14:paraId="5D5FB595" w14:textId="77777777" w:rsidR="006978CE" w:rsidRPr="00E12714" w:rsidRDefault="006978CE" w:rsidP="00B43B70">
      <w:pPr>
        <w:shd w:val="clear" w:color="auto" w:fill="FFFFFF"/>
        <w:rPr>
          <w:b/>
          <w:color w:val="444444"/>
        </w:rPr>
      </w:pPr>
      <w:r w:rsidRPr="00E12714">
        <w:rPr>
          <w:b/>
          <w:color w:val="444444"/>
        </w:rPr>
        <w:t xml:space="preserve">$50 billion general allocation </w:t>
      </w:r>
    </w:p>
    <w:p w14:paraId="3BC5EBE5" w14:textId="10B7E985" w:rsidR="006978CE" w:rsidRDefault="006978CE" w:rsidP="00B43B70">
      <w:pPr>
        <w:shd w:val="clear" w:color="auto" w:fill="FFFFFF"/>
        <w:rPr>
          <w:color w:val="444444"/>
        </w:rPr>
      </w:pPr>
      <w:r w:rsidRPr="00E12714">
        <w:rPr>
          <w:color w:val="444444"/>
        </w:rPr>
        <w:t xml:space="preserve">$50 billion of the Provider Relief Fund is allocated for general distribution to facilities and providers </w:t>
      </w:r>
      <w:r w:rsidR="00614E67" w:rsidRPr="00E12714">
        <w:rPr>
          <w:color w:val="444444"/>
        </w:rPr>
        <w:t xml:space="preserve">which </w:t>
      </w:r>
      <w:r w:rsidR="00352265" w:rsidRPr="00E12714">
        <w:rPr>
          <w:color w:val="444444"/>
        </w:rPr>
        <w:t xml:space="preserve">billed Medicare in 2019, and are </w:t>
      </w:r>
      <w:r w:rsidRPr="00E12714">
        <w:rPr>
          <w:color w:val="444444"/>
        </w:rPr>
        <w:t xml:space="preserve">impacted by COVID-19, based on providers' 2018 net patient revenue. </w:t>
      </w:r>
      <w:r w:rsidR="001C564F" w:rsidRPr="00E12714">
        <w:rPr>
          <w:color w:val="444444"/>
        </w:rPr>
        <w:t xml:space="preserve"> Of this $50 billion, th</w:t>
      </w:r>
      <w:r w:rsidRPr="00E12714">
        <w:rPr>
          <w:color w:val="444444"/>
        </w:rPr>
        <w:t>e initial $30 billion was distributed between April 10 and April 17</w:t>
      </w:r>
      <w:r w:rsidR="001C564F" w:rsidRPr="00E12714">
        <w:rPr>
          <w:color w:val="444444"/>
        </w:rPr>
        <w:t>,</w:t>
      </w:r>
      <w:r w:rsidRPr="00E12714">
        <w:rPr>
          <w:color w:val="444444"/>
        </w:rPr>
        <w:t xml:space="preserve"> and</w:t>
      </w:r>
      <w:r w:rsidR="00A27620" w:rsidRPr="00E12714">
        <w:rPr>
          <w:color w:val="444444"/>
        </w:rPr>
        <w:t xml:space="preserve"> payments</w:t>
      </w:r>
      <w:r w:rsidR="001C564F" w:rsidRPr="00E12714">
        <w:rPr>
          <w:color w:val="444444"/>
        </w:rPr>
        <w:t xml:space="preserve"> to providers from that $30 billion</w:t>
      </w:r>
      <w:r w:rsidR="00A27620" w:rsidRPr="00E12714">
        <w:rPr>
          <w:color w:val="444444"/>
        </w:rPr>
        <w:t xml:space="preserve"> were</w:t>
      </w:r>
      <w:r w:rsidRPr="00E12714">
        <w:rPr>
          <w:color w:val="444444"/>
        </w:rPr>
        <w:t xml:space="preserve"> calculated based on</w:t>
      </w:r>
      <w:r w:rsidR="00A27620" w:rsidRPr="00E12714">
        <w:rPr>
          <w:color w:val="444444"/>
        </w:rPr>
        <w:t xml:space="preserve"> providers</w:t>
      </w:r>
      <w:r w:rsidR="00C51A5F" w:rsidRPr="00E12714">
        <w:rPr>
          <w:color w:val="444444"/>
        </w:rPr>
        <w:t>’</w:t>
      </w:r>
      <w:r w:rsidR="00A27620" w:rsidRPr="00E12714">
        <w:rPr>
          <w:color w:val="444444"/>
        </w:rPr>
        <w:t xml:space="preserve"> portion of</w:t>
      </w:r>
      <w:r w:rsidRPr="00E12714">
        <w:rPr>
          <w:color w:val="444444"/>
        </w:rPr>
        <w:t xml:space="preserve"> Medicare </w:t>
      </w:r>
      <w:r w:rsidR="000F1573" w:rsidRPr="00E12714">
        <w:rPr>
          <w:color w:val="444444"/>
        </w:rPr>
        <w:t>fee-for-service</w:t>
      </w:r>
      <w:r w:rsidRPr="00E12714">
        <w:rPr>
          <w:color w:val="444444"/>
        </w:rPr>
        <w:t xml:space="preserve"> revenue.</w:t>
      </w:r>
    </w:p>
    <w:p w14:paraId="46E643B1" w14:textId="3FE4FDBC" w:rsidR="00650864" w:rsidRPr="00E12714" w:rsidRDefault="00650864" w:rsidP="00B43B70">
      <w:pPr>
        <w:shd w:val="clear" w:color="auto" w:fill="FFFFFF"/>
        <w:rPr>
          <w:color w:val="444444"/>
        </w:rPr>
      </w:pPr>
    </w:p>
    <w:p w14:paraId="32F79712" w14:textId="77777777" w:rsidR="006978CE" w:rsidRPr="00E12714" w:rsidRDefault="006978CE" w:rsidP="00B43B70">
      <w:pPr>
        <w:rPr>
          <w:color w:val="444444"/>
        </w:rPr>
      </w:pPr>
    </w:p>
    <w:p w14:paraId="4D088563" w14:textId="77777777" w:rsidR="00E12714" w:rsidRDefault="006978CE" w:rsidP="00B43B70">
      <w:pPr>
        <w:rPr>
          <w:rFonts w:eastAsia="Times New Roman"/>
          <w:color w:val="444444"/>
          <w:lang w:val="en"/>
        </w:rPr>
      </w:pPr>
      <w:r w:rsidRPr="00E12714">
        <w:rPr>
          <w:rFonts w:eastAsia="Times New Roman"/>
          <w:b/>
          <w:color w:val="444444"/>
          <w:u w:val="single"/>
          <w:lang w:val="en"/>
        </w:rPr>
        <w:t xml:space="preserve">HHS will begin distribution </w:t>
      </w:r>
      <w:r w:rsidR="00C51A5F" w:rsidRPr="00E12714">
        <w:rPr>
          <w:rFonts w:eastAsia="Times New Roman"/>
          <w:b/>
          <w:color w:val="444444"/>
          <w:u w:val="single"/>
          <w:lang w:val="en"/>
        </w:rPr>
        <w:t xml:space="preserve">to providers </w:t>
      </w:r>
      <w:r w:rsidRPr="00E12714">
        <w:rPr>
          <w:rFonts w:eastAsia="Times New Roman"/>
          <w:b/>
          <w:color w:val="444444"/>
          <w:u w:val="single"/>
          <w:lang w:val="en"/>
        </w:rPr>
        <w:t>of the remaining $20 billion of the</w:t>
      </w:r>
      <w:r w:rsidR="001C564F" w:rsidRPr="00E12714">
        <w:rPr>
          <w:rFonts w:eastAsia="Times New Roman"/>
          <w:b/>
          <w:color w:val="444444"/>
          <w:u w:val="single"/>
          <w:lang w:val="en"/>
        </w:rPr>
        <w:t xml:space="preserve"> $50 billion </w:t>
      </w:r>
      <w:r w:rsidRPr="00E12714">
        <w:rPr>
          <w:rFonts w:eastAsia="Times New Roman"/>
          <w:b/>
          <w:color w:val="444444"/>
          <w:u w:val="single"/>
          <w:lang w:val="en"/>
        </w:rPr>
        <w:t xml:space="preserve">general allocation on </w:t>
      </w:r>
      <w:r w:rsidR="00E12714" w:rsidRPr="00E12714">
        <w:rPr>
          <w:rFonts w:eastAsia="Times New Roman"/>
          <w:b/>
          <w:color w:val="444444"/>
          <w:u w:val="single"/>
          <w:lang w:val="en"/>
        </w:rPr>
        <w:t xml:space="preserve">Friday, </w:t>
      </w:r>
      <w:r w:rsidRPr="00E12714">
        <w:rPr>
          <w:rFonts w:eastAsia="Times New Roman"/>
          <w:b/>
          <w:color w:val="444444"/>
          <w:u w:val="single"/>
          <w:lang w:val="en"/>
        </w:rPr>
        <w:t>April 24</w:t>
      </w:r>
      <w:r w:rsidR="001C564F" w:rsidRPr="00E12714">
        <w:rPr>
          <w:rFonts w:eastAsia="Times New Roman"/>
          <w:b/>
          <w:color w:val="444444"/>
          <w:u w:val="single"/>
          <w:lang w:val="en"/>
        </w:rPr>
        <w:t>.</w:t>
      </w:r>
      <w:r w:rsidR="001C564F" w:rsidRPr="00E12714">
        <w:rPr>
          <w:rFonts w:eastAsia="Times New Roman"/>
          <w:color w:val="444444"/>
          <w:lang w:val="en"/>
        </w:rPr>
        <w:t xml:space="preserve"> </w:t>
      </w:r>
    </w:p>
    <w:p w14:paraId="11CAC85D" w14:textId="77777777" w:rsidR="00E12714" w:rsidRDefault="00E12714" w:rsidP="00B43B70">
      <w:pPr>
        <w:rPr>
          <w:rFonts w:eastAsia="Times New Roman"/>
          <w:color w:val="444444"/>
          <w:lang w:val="en"/>
        </w:rPr>
      </w:pPr>
    </w:p>
    <w:p w14:paraId="21C98FF2" w14:textId="10EAAA0E" w:rsidR="00107993" w:rsidRPr="00E12714" w:rsidRDefault="001C564F" w:rsidP="00B43B70">
      <w:pPr>
        <w:rPr>
          <w:rFonts w:eastAsia="Times New Roman"/>
          <w:color w:val="444444"/>
          <w:lang w:val="en"/>
        </w:rPr>
      </w:pPr>
      <w:r w:rsidRPr="00E12714">
        <w:rPr>
          <w:rFonts w:eastAsia="Times New Roman"/>
          <w:color w:val="444444"/>
          <w:lang w:val="en"/>
        </w:rPr>
        <w:t>Payment to providers from this $20 billion are calculated so that a provider</w:t>
      </w:r>
      <w:r w:rsidR="00C51A5F" w:rsidRPr="00E12714">
        <w:rPr>
          <w:rFonts w:eastAsia="Times New Roman"/>
          <w:color w:val="444444"/>
          <w:lang w:val="en"/>
        </w:rPr>
        <w:t>’s</w:t>
      </w:r>
      <w:r w:rsidRPr="00E12714">
        <w:rPr>
          <w:rFonts w:eastAsia="Times New Roman"/>
          <w:color w:val="444444"/>
          <w:lang w:val="en"/>
        </w:rPr>
        <w:t xml:space="preserve"> allocation from the entire </w:t>
      </w:r>
      <w:r w:rsidR="006978CE" w:rsidRPr="00E12714">
        <w:rPr>
          <w:rFonts w:eastAsia="Times New Roman"/>
          <w:color w:val="444444"/>
          <w:lang w:val="en"/>
        </w:rPr>
        <w:t xml:space="preserve">$50 billion general distribution </w:t>
      </w:r>
      <w:r w:rsidR="00E12714">
        <w:rPr>
          <w:rFonts w:eastAsia="Times New Roman"/>
          <w:color w:val="444444"/>
          <w:lang w:val="en"/>
        </w:rPr>
        <w:t xml:space="preserve">will be in proportion to </w:t>
      </w:r>
      <w:r w:rsidRPr="00E12714">
        <w:rPr>
          <w:rFonts w:eastAsia="Times New Roman"/>
          <w:color w:val="444444"/>
          <w:lang w:val="en"/>
        </w:rPr>
        <w:t>such provider’s 2018 net patient revenue.</w:t>
      </w:r>
      <w:r w:rsidR="00107993" w:rsidRPr="00E12714">
        <w:rPr>
          <w:rFonts w:eastAsia="Times New Roman"/>
          <w:color w:val="444444"/>
          <w:lang w:val="en"/>
        </w:rPr>
        <w:t xml:space="preserve"> Total revenues of Medicare facilities and providers </w:t>
      </w:r>
      <w:r w:rsidR="00E12714">
        <w:rPr>
          <w:rFonts w:eastAsia="Times New Roman"/>
          <w:color w:val="444444"/>
          <w:lang w:val="en"/>
        </w:rPr>
        <w:t xml:space="preserve">in 2018 </w:t>
      </w:r>
      <w:r w:rsidR="00107993" w:rsidRPr="00E12714">
        <w:rPr>
          <w:rFonts w:eastAsia="Times New Roman"/>
          <w:color w:val="444444"/>
          <w:lang w:val="en"/>
        </w:rPr>
        <w:t xml:space="preserve">is </w:t>
      </w:r>
      <w:r w:rsidR="00A71D00" w:rsidRPr="00E12714">
        <w:rPr>
          <w:rFonts w:eastAsia="Times New Roman"/>
          <w:color w:val="444444"/>
          <w:lang w:val="en"/>
        </w:rPr>
        <w:t xml:space="preserve">estimated to be </w:t>
      </w:r>
      <w:r w:rsidR="00107993" w:rsidRPr="00E12714">
        <w:rPr>
          <w:rFonts w:eastAsia="Times New Roman"/>
          <w:color w:val="444444"/>
          <w:lang w:val="en"/>
        </w:rPr>
        <w:t xml:space="preserve">$2.5 trillion. Providers can </w:t>
      </w:r>
      <w:r w:rsidR="00A71D00" w:rsidRPr="00E12714">
        <w:rPr>
          <w:rFonts w:eastAsia="Times New Roman"/>
          <w:color w:val="444444"/>
          <w:lang w:val="en"/>
        </w:rPr>
        <w:t xml:space="preserve">estimate </w:t>
      </w:r>
      <w:r w:rsidR="00107993" w:rsidRPr="00E12714">
        <w:rPr>
          <w:rFonts w:eastAsia="Times New Roman"/>
          <w:color w:val="444444"/>
          <w:lang w:val="en"/>
        </w:rPr>
        <w:t>their expected general revenue distribution</w:t>
      </w:r>
      <w:r w:rsidRPr="00E12714">
        <w:rPr>
          <w:rFonts w:eastAsia="Times New Roman"/>
          <w:color w:val="444444"/>
          <w:lang w:val="en"/>
        </w:rPr>
        <w:t xml:space="preserve"> </w:t>
      </w:r>
      <w:r w:rsidR="00107993" w:rsidRPr="00E12714">
        <w:rPr>
          <w:rFonts w:eastAsia="Times New Roman"/>
          <w:color w:val="444444"/>
          <w:lang w:val="en"/>
        </w:rPr>
        <w:t xml:space="preserve">through the following formula: </w:t>
      </w:r>
    </w:p>
    <w:p w14:paraId="60B26577" w14:textId="36EB64DE" w:rsidR="00107993" w:rsidRPr="00E12714" w:rsidRDefault="00107993" w:rsidP="00B43B70">
      <w:pPr>
        <w:rPr>
          <w:rFonts w:eastAsia="Times New Roman"/>
          <w:color w:val="444444"/>
          <w:lang w:val="en"/>
        </w:rPr>
      </w:pPr>
    </w:p>
    <w:p w14:paraId="7E36C5BD" w14:textId="4AD97684" w:rsidR="001C564F" w:rsidRPr="00E12714" w:rsidRDefault="00107993" w:rsidP="00B43B70">
      <w:pPr>
        <w:rPr>
          <w:rFonts w:eastAsia="Times New Roman"/>
          <w:color w:val="444444"/>
          <w:lang w:val="en"/>
        </w:rPr>
      </w:pPr>
      <w:r w:rsidRPr="00E12714">
        <w:rPr>
          <w:rFonts w:eastAsia="Times New Roman"/>
          <w:color w:val="444444"/>
          <w:lang w:val="en"/>
        </w:rPr>
        <w:t xml:space="preserve">(Individual Provider </w:t>
      </w:r>
      <w:r w:rsidR="00E12714">
        <w:rPr>
          <w:rFonts w:eastAsia="Times New Roman"/>
          <w:color w:val="444444"/>
          <w:lang w:val="en"/>
        </w:rPr>
        <w:t xml:space="preserve">2018 </w:t>
      </w:r>
      <w:r w:rsidRPr="00E12714">
        <w:rPr>
          <w:rFonts w:eastAsia="Times New Roman"/>
          <w:color w:val="444444"/>
          <w:lang w:val="en"/>
        </w:rPr>
        <w:t xml:space="preserve">Revenue/$2.5 Trillion) X $50 Billion = Expected General Distribution </w:t>
      </w:r>
    </w:p>
    <w:p w14:paraId="7875B27F" w14:textId="77777777" w:rsidR="00107993" w:rsidRPr="00E12714" w:rsidRDefault="00107993" w:rsidP="00B43B70">
      <w:pPr>
        <w:rPr>
          <w:rStyle w:val="Strong"/>
          <w:bCs w:val="0"/>
          <w:color w:val="444444"/>
        </w:rPr>
      </w:pPr>
    </w:p>
    <w:p w14:paraId="1B4FB10A" w14:textId="0642DE55" w:rsidR="006978CE" w:rsidRPr="00E12714" w:rsidRDefault="006978CE" w:rsidP="00B43B70">
      <w:pPr>
        <w:rPr>
          <w:rStyle w:val="Strong"/>
          <w:bCs w:val="0"/>
          <w:color w:val="444444"/>
        </w:rPr>
      </w:pPr>
      <w:r w:rsidRPr="00E12714">
        <w:rPr>
          <w:rStyle w:val="Strong"/>
          <w:color w:val="444444"/>
        </w:rPr>
        <w:t xml:space="preserve">General allocation payment </w:t>
      </w:r>
    </w:p>
    <w:p w14:paraId="364D2306" w14:textId="77777777" w:rsidR="00E12714" w:rsidRDefault="006978CE" w:rsidP="00B43B70">
      <w:pPr>
        <w:rPr>
          <w:rFonts w:eastAsia="Times New Roman"/>
          <w:color w:val="444444"/>
          <w:lang w:val="en"/>
        </w:rPr>
      </w:pPr>
      <w:r w:rsidRPr="00E12714">
        <w:rPr>
          <w:rFonts w:eastAsia="Times New Roman"/>
          <w:color w:val="444444"/>
          <w:lang w:val="en"/>
        </w:rPr>
        <w:t>On April 24, a portion of providers</w:t>
      </w:r>
      <w:r w:rsidR="00E12714">
        <w:rPr>
          <w:rFonts w:eastAsia="Times New Roman"/>
          <w:color w:val="444444"/>
          <w:lang w:val="en"/>
        </w:rPr>
        <w:t xml:space="preserve"> </w:t>
      </w:r>
      <w:r w:rsidR="00614E67" w:rsidRPr="00E12714">
        <w:rPr>
          <w:rFonts w:eastAsia="Times New Roman"/>
          <w:color w:val="444444"/>
          <w:lang w:val="en"/>
        </w:rPr>
        <w:t xml:space="preserve">will </w:t>
      </w:r>
      <w:r w:rsidR="00E12714">
        <w:rPr>
          <w:rFonts w:eastAsia="Times New Roman"/>
          <w:color w:val="444444"/>
          <w:lang w:val="en"/>
        </w:rPr>
        <w:t>receive</w:t>
      </w:r>
      <w:r w:rsidRPr="00E12714">
        <w:rPr>
          <w:rFonts w:eastAsia="Times New Roman"/>
          <w:color w:val="444444"/>
          <w:lang w:val="en"/>
        </w:rPr>
        <w:t xml:space="preserve"> a </w:t>
      </w:r>
      <w:r w:rsidR="00A27620" w:rsidRPr="00E12714">
        <w:rPr>
          <w:rFonts w:eastAsia="Times New Roman"/>
          <w:color w:val="444444"/>
          <w:lang w:val="en"/>
        </w:rPr>
        <w:t xml:space="preserve">second </w:t>
      </w:r>
      <w:r w:rsidRPr="00E12714">
        <w:rPr>
          <w:rFonts w:eastAsia="Times New Roman"/>
          <w:color w:val="444444"/>
          <w:lang w:val="en"/>
        </w:rPr>
        <w:t xml:space="preserve">payment </w:t>
      </w:r>
      <w:r w:rsidR="00E12714">
        <w:rPr>
          <w:rFonts w:eastAsia="Times New Roman"/>
          <w:color w:val="444444"/>
          <w:lang w:val="en"/>
        </w:rPr>
        <w:t xml:space="preserve">derived from </w:t>
      </w:r>
      <w:r w:rsidRPr="00E12714">
        <w:rPr>
          <w:rFonts w:eastAsia="Times New Roman"/>
          <w:color w:val="444444"/>
          <w:lang w:val="en"/>
        </w:rPr>
        <w:t xml:space="preserve">revenue data </w:t>
      </w:r>
      <w:r w:rsidR="00614E67" w:rsidRPr="00E12714">
        <w:rPr>
          <w:rFonts w:eastAsia="Times New Roman"/>
          <w:color w:val="444444"/>
          <w:lang w:val="en"/>
        </w:rPr>
        <w:t xml:space="preserve">previously </w:t>
      </w:r>
      <w:r w:rsidRPr="00E12714">
        <w:rPr>
          <w:rFonts w:eastAsia="Times New Roman"/>
          <w:color w:val="444444"/>
          <w:lang w:val="en"/>
        </w:rPr>
        <w:t xml:space="preserve">submitted in CMS cost reports. </w:t>
      </w:r>
      <w:r w:rsidR="00A643AE" w:rsidRPr="00E12714">
        <w:rPr>
          <w:rFonts w:eastAsia="Times New Roman"/>
          <w:color w:val="444444"/>
          <w:lang w:val="en"/>
        </w:rPr>
        <w:t xml:space="preserve">This payment, together with </w:t>
      </w:r>
      <w:r w:rsidR="00E12714">
        <w:rPr>
          <w:rFonts w:eastAsia="Times New Roman"/>
          <w:color w:val="444444"/>
          <w:lang w:val="en"/>
        </w:rPr>
        <w:t xml:space="preserve">the </w:t>
      </w:r>
      <w:r w:rsidR="00A643AE" w:rsidRPr="00E12714">
        <w:rPr>
          <w:rFonts w:eastAsia="Times New Roman"/>
          <w:color w:val="444444"/>
          <w:lang w:val="en"/>
        </w:rPr>
        <w:t xml:space="preserve">initial payment </w:t>
      </w:r>
      <w:r w:rsidR="00E12714">
        <w:rPr>
          <w:rFonts w:eastAsia="Times New Roman"/>
          <w:color w:val="444444"/>
          <w:lang w:val="en"/>
        </w:rPr>
        <w:t xml:space="preserve">received </w:t>
      </w:r>
      <w:r w:rsidR="00A643AE" w:rsidRPr="00E12714">
        <w:rPr>
          <w:rFonts w:eastAsia="Times New Roman"/>
          <w:color w:val="444444"/>
          <w:lang w:val="en"/>
        </w:rPr>
        <w:t xml:space="preserve">earlier in April, </w:t>
      </w:r>
      <w:r w:rsidR="00E12714">
        <w:rPr>
          <w:rFonts w:eastAsia="Times New Roman"/>
          <w:color w:val="444444"/>
          <w:lang w:val="en"/>
        </w:rPr>
        <w:t xml:space="preserve">will represent the </w:t>
      </w:r>
      <w:r w:rsidR="00A643AE" w:rsidRPr="00E12714">
        <w:rPr>
          <w:rFonts w:eastAsia="Times New Roman"/>
          <w:color w:val="444444"/>
          <w:lang w:val="en"/>
        </w:rPr>
        <w:t xml:space="preserve">total allocation from the $50 billion </w:t>
      </w:r>
      <w:r w:rsidR="001C564F" w:rsidRPr="00E12714">
        <w:rPr>
          <w:rFonts w:eastAsia="Times New Roman"/>
          <w:color w:val="444444"/>
          <w:lang w:val="en"/>
        </w:rPr>
        <w:t>general distribution</w:t>
      </w:r>
      <w:r w:rsidR="00E12714">
        <w:rPr>
          <w:rFonts w:eastAsia="Times New Roman"/>
          <w:color w:val="444444"/>
          <w:lang w:val="en"/>
        </w:rPr>
        <w:t>.</w:t>
      </w:r>
    </w:p>
    <w:p w14:paraId="2C0C3B5A" w14:textId="77777777" w:rsidR="00E12714" w:rsidRDefault="00E12714" w:rsidP="00B43B70">
      <w:pPr>
        <w:rPr>
          <w:rFonts w:eastAsia="Times New Roman"/>
          <w:color w:val="444444"/>
          <w:lang w:val="en"/>
        </w:rPr>
      </w:pPr>
    </w:p>
    <w:p w14:paraId="6B82E9FF" w14:textId="484577A8" w:rsidR="00A27620" w:rsidRPr="00E12714" w:rsidRDefault="00534432" w:rsidP="00B43B70">
      <w:pPr>
        <w:rPr>
          <w:rFonts w:eastAsia="Times New Roman"/>
          <w:color w:val="444444"/>
          <w:lang w:val="en"/>
        </w:rPr>
      </w:pPr>
      <w:r w:rsidRPr="00E12714">
        <w:rPr>
          <w:b/>
          <w:color w:val="444444"/>
        </w:rPr>
        <w:t>All providers</w:t>
      </w:r>
      <w:r w:rsidR="00C51A5F" w:rsidRPr="00E12714">
        <w:rPr>
          <w:b/>
          <w:color w:val="444444"/>
        </w:rPr>
        <w:t>, including those paid off the revenue data already submitted</w:t>
      </w:r>
      <w:r w:rsidR="00614E67" w:rsidRPr="00E12714">
        <w:rPr>
          <w:b/>
          <w:color w:val="444444"/>
        </w:rPr>
        <w:t xml:space="preserve"> in CMS cost</w:t>
      </w:r>
      <w:r w:rsidR="00352265" w:rsidRPr="00E12714">
        <w:rPr>
          <w:b/>
          <w:color w:val="444444"/>
        </w:rPr>
        <w:t xml:space="preserve"> reports,</w:t>
      </w:r>
      <w:r w:rsidRPr="00E12714">
        <w:rPr>
          <w:b/>
          <w:color w:val="444444"/>
        </w:rPr>
        <w:t xml:space="preserve"> are required</w:t>
      </w:r>
      <w:r w:rsidR="008E34A1" w:rsidRPr="00E12714">
        <w:rPr>
          <w:b/>
          <w:color w:val="444444"/>
        </w:rPr>
        <w:t xml:space="preserve"> under the Terms and Conditions</w:t>
      </w:r>
      <w:r w:rsidRPr="00E12714">
        <w:rPr>
          <w:b/>
          <w:color w:val="444444"/>
        </w:rPr>
        <w:t xml:space="preserve"> to </w:t>
      </w:r>
      <w:r w:rsidR="006978CE" w:rsidRPr="00E12714">
        <w:rPr>
          <w:rFonts w:eastAsia="Times New Roman"/>
          <w:b/>
          <w:color w:val="444444"/>
          <w:u w:val="single"/>
          <w:lang w:val="en"/>
        </w:rPr>
        <w:t>submit revenue information</w:t>
      </w:r>
      <w:r w:rsidRPr="00E12714">
        <w:rPr>
          <w:rFonts w:eastAsia="Times New Roman"/>
          <w:b/>
          <w:color w:val="444444"/>
          <w:u w:val="single"/>
          <w:lang w:val="en"/>
        </w:rPr>
        <w:t xml:space="preserve"> to the provider portal</w:t>
      </w:r>
      <w:r w:rsidR="001C564F" w:rsidRPr="00E12714">
        <w:rPr>
          <w:rFonts w:eastAsia="Times New Roman"/>
          <w:b/>
          <w:color w:val="444444"/>
          <w:lang w:val="en"/>
        </w:rPr>
        <w:t xml:space="preserve"> f</w:t>
      </w:r>
      <w:r w:rsidRPr="00E12714">
        <w:rPr>
          <w:rFonts w:eastAsia="Times New Roman"/>
          <w:b/>
          <w:color w:val="444444"/>
          <w:lang w:val="en"/>
        </w:rPr>
        <w:t xml:space="preserve">or </w:t>
      </w:r>
      <w:r w:rsidR="001C564F" w:rsidRPr="00E12714">
        <w:rPr>
          <w:rFonts w:eastAsia="Times New Roman"/>
          <w:b/>
          <w:color w:val="444444"/>
          <w:lang w:val="en"/>
        </w:rPr>
        <w:t xml:space="preserve">later </w:t>
      </w:r>
      <w:r w:rsidRPr="00E12714">
        <w:rPr>
          <w:rFonts w:eastAsia="Times New Roman"/>
          <w:b/>
          <w:color w:val="444444"/>
          <w:lang w:val="en"/>
        </w:rPr>
        <w:t>verification</w:t>
      </w:r>
      <w:r w:rsidR="00A27620" w:rsidRPr="00E12714">
        <w:rPr>
          <w:rFonts w:eastAsia="Times New Roman"/>
          <w:b/>
          <w:color w:val="444444"/>
          <w:lang w:val="en"/>
        </w:rPr>
        <w:t>.</w:t>
      </w:r>
      <w:r w:rsidR="006978CE" w:rsidRPr="00E12714">
        <w:rPr>
          <w:rFonts w:eastAsia="Times New Roman"/>
          <w:color w:val="444444"/>
          <w:lang w:val="en"/>
        </w:rPr>
        <w:t xml:space="preserve"> </w:t>
      </w:r>
    </w:p>
    <w:p w14:paraId="79412AD3" w14:textId="77777777" w:rsidR="00A27620" w:rsidRPr="00E12714" w:rsidRDefault="00A27620" w:rsidP="00B43B70">
      <w:pPr>
        <w:rPr>
          <w:rFonts w:eastAsia="Times New Roman"/>
          <w:color w:val="444444"/>
          <w:lang w:val="en"/>
        </w:rPr>
      </w:pPr>
    </w:p>
    <w:p w14:paraId="5B47996F" w14:textId="762467F0" w:rsidR="006978CE" w:rsidRPr="00E12714" w:rsidRDefault="006978CE" w:rsidP="00B43B70">
      <w:pPr>
        <w:rPr>
          <w:b/>
          <w:color w:val="444444"/>
        </w:rPr>
      </w:pPr>
      <w:r w:rsidRPr="00E12714">
        <w:rPr>
          <w:rFonts w:eastAsia="Times New Roman"/>
          <w:color w:val="444444"/>
          <w:lang w:val="en"/>
        </w:rPr>
        <w:t xml:space="preserve">Information on steps </w:t>
      </w:r>
      <w:r w:rsidR="00E12714">
        <w:rPr>
          <w:rFonts w:eastAsia="Times New Roman"/>
          <w:color w:val="444444"/>
          <w:lang w:val="en"/>
        </w:rPr>
        <w:t>providers</w:t>
      </w:r>
      <w:r w:rsidRPr="00E12714">
        <w:rPr>
          <w:rFonts w:eastAsia="Times New Roman"/>
          <w:color w:val="444444"/>
          <w:lang w:val="en"/>
        </w:rPr>
        <w:t xml:space="preserve"> will need to take are included below. </w:t>
      </w:r>
    </w:p>
    <w:p w14:paraId="64D61821" w14:textId="77777777" w:rsidR="006978CE" w:rsidRPr="00E12714" w:rsidRDefault="006978CE" w:rsidP="00B43B70">
      <w:pPr>
        <w:rPr>
          <w:rFonts w:eastAsia="Times New Roman"/>
          <w:color w:val="444444"/>
          <w:lang w:val="en"/>
        </w:rPr>
      </w:pPr>
    </w:p>
    <w:p w14:paraId="5A8BC87B" w14:textId="77777777" w:rsidR="00504C4D" w:rsidRDefault="00504C4D">
      <w:pPr>
        <w:spacing w:after="160" w:line="259" w:lineRule="auto"/>
        <w:rPr>
          <w:rStyle w:val="Strong"/>
          <w:color w:val="444444"/>
        </w:rPr>
      </w:pPr>
      <w:r>
        <w:rPr>
          <w:rStyle w:val="Strong"/>
          <w:color w:val="444444"/>
        </w:rPr>
        <w:br w:type="page"/>
      </w:r>
    </w:p>
    <w:p w14:paraId="71067708" w14:textId="77777777" w:rsidR="00650864" w:rsidRDefault="00650864" w:rsidP="00650864">
      <w:pPr>
        <w:rPr>
          <w:rStyle w:val="Strong"/>
          <w:color w:val="444444"/>
        </w:rPr>
      </w:pPr>
      <w:r>
        <w:rPr>
          <w:rStyle w:val="Strong"/>
          <w:color w:val="444444"/>
        </w:rPr>
        <w:lastRenderedPageBreak/>
        <w:t xml:space="preserve">What can payments be used for? </w:t>
      </w:r>
    </w:p>
    <w:p w14:paraId="20115B27" w14:textId="20EBD9B5" w:rsidR="00650864" w:rsidRPr="00650864" w:rsidRDefault="00650864" w:rsidP="00650864">
      <w:pPr>
        <w:rPr>
          <w:rStyle w:val="Strong"/>
          <w:b w:val="0"/>
          <w:color w:val="444444"/>
        </w:rPr>
      </w:pPr>
      <w:r>
        <w:rPr>
          <w:rStyle w:val="Strong"/>
          <w:b w:val="0"/>
          <w:color w:val="444444"/>
        </w:rPr>
        <w:t xml:space="preserve">As required by the terms and conditions, all payments </w:t>
      </w:r>
      <w:r>
        <w:t xml:space="preserve">may only be used to prevent, prepare for, and respond to coronavirus, and that the Payment shall reimburse the Recipient only for health care related expenses or lost revenues that are attributable to coronavirus.  If a recipient does not have lost revenues or increased expenses due to COVID-19 equal to the amount received a recipient must return the funds. </w:t>
      </w:r>
    </w:p>
    <w:p w14:paraId="5BF2146D" w14:textId="77777777" w:rsidR="00650864" w:rsidRDefault="00650864" w:rsidP="0091617C">
      <w:pPr>
        <w:rPr>
          <w:rStyle w:val="Strong"/>
          <w:color w:val="444444"/>
        </w:rPr>
      </w:pPr>
    </w:p>
    <w:p w14:paraId="0D6BF3A1" w14:textId="32F3A1C1" w:rsidR="00E12714" w:rsidRDefault="006978CE" w:rsidP="0091617C">
      <w:pPr>
        <w:rPr>
          <w:rStyle w:val="Strong"/>
          <w:color w:val="444444"/>
        </w:rPr>
      </w:pPr>
      <w:r w:rsidRPr="00E12714">
        <w:rPr>
          <w:rStyle w:val="Strong"/>
          <w:color w:val="444444"/>
        </w:rPr>
        <w:t>How will payments be distributed?</w:t>
      </w:r>
      <w:r w:rsidRPr="00E12714">
        <w:rPr>
          <w:color w:val="444444"/>
        </w:rPr>
        <w:br/>
        <w:t>HHS is partnering with UnitedHealth Group to funds</w:t>
      </w:r>
      <w:r w:rsidR="00E12714">
        <w:rPr>
          <w:color w:val="444444"/>
        </w:rPr>
        <w:t xml:space="preserve"> to eligible providers.  </w:t>
      </w:r>
      <w:r w:rsidR="00E12714" w:rsidRPr="00E12714">
        <w:rPr>
          <w:color w:val="444444"/>
        </w:rPr>
        <w:t>All relief payments are made to provider billing organizations based on their Taxpayer Identification Numbers (TINs).</w:t>
      </w:r>
      <w:r w:rsidR="00E12714">
        <w:rPr>
          <w:color w:val="444444"/>
        </w:rPr>
        <w:t xml:space="preserve">  Each</w:t>
      </w:r>
      <w:r w:rsidRPr="00E12714">
        <w:rPr>
          <w:color w:val="444444"/>
        </w:rPr>
        <w:t xml:space="preserve"> organization’s payment will be delivered via </w:t>
      </w:r>
      <w:r w:rsidR="00E12714">
        <w:rPr>
          <w:color w:val="444444"/>
        </w:rPr>
        <w:t xml:space="preserve">the </w:t>
      </w:r>
      <w:r w:rsidRPr="00E12714">
        <w:rPr>
          <w:color w:val="444444"/>
        </w:rPr>
        <w:t xml:space="preserve">Automated Clearing House (ACH) to the Medicare routing number and account number </w:t>
      </w:r>
      <w:r w:rsidR="00E12714">
        <w:rPr>
          <w:color w:val="444444"/>
        </w:rPr>
        <w:t>that provider</w:t>
      </w:r>
      <w:r w:rsidRPr="00E12714">
        <w:rPr>
          <w:color w:val="444444"/>
        </w:rPr>
        <w:t xml:space="preserve"> ha</w:t>
      </w:r>
      <w:r w:rsidR="00E12714">
        <w:rPr>
          <w:color w:val="444444"/>
        </w:rPr>
        <w:t>s</w:t>
      </w:r>
      <w:r w:rsidRPr="00E12714">
        <w:rPr>
          <w:color w:val="444444"/>
        </w:rPr>
        <w:t xml:space="preserve"> on file with HHS. The automatic payments will come via Optum Bank with “HHSPAYMENT” as the payment description</w:t>
      </w:r>
      <w:r w:rsidR="00352265" w:rsidRPr="00E12714">
        <w:rPr>
          <w:color w:val="444444"/>
        </w:rPr>
        <w:t xml:space="preserve">.  </w:t>
      </w:r>
      <w:r w:rsidRPr="00E12714">
        <w:rPr>
          <w:color w:val="444444"/>
        </w:rPr>
        <w:t xml:space="preserve">Payments </w:t>
      </w:r>
      <w:r w:rsidR="00E12714">
        <w:rPr>
          <w:color w:val="444444"/>
        </w:rPr>
        <w:t xml:space="preserve">will be </w:t>
      </w:r>
      <w:r w:rsidR="00352265" w:rsidRPr="00E12714">
        <w:rPr>
          <w:color w:val="444444"/>
        </w:rPr>
        <w:t xml:space="preserve">sent </w:t>
      </w:r>
      <w:r w:rsidRPr="00E12714">
        <w:rPr>
          <w:color w:val="444444"/>
        </w:rPr>
        <w:t xml:space="preserve">to the group’s central billing office. </w:t>
      </w:r>
      <w:r w:rsidRPr="00E12714">
        <w:rPr>
          <w:color w:val="444444"/>
        </w:rPr>
        <w:br/>
      </w:r>
    </w:p>
    <w:p w14:paraId="58556527" w14:textId="77777777" w:rsidR="00504C4D" w:rsidRDefault="00E12714" w:rsidP="0091617C">
      <w:pPr>
        <w:rPr>
          <w:color w:val="444444"/>
        </w:rPr>
      </w:pPr>
      <w:r>
        <w:rPr>
          <w:rStyle w:val="Strong"/>
          <w:color w:val="444444"/>
        </w:rPr>
        <w:t>What action should recipients</w:t>
      </w:r>
      <w:r w:rsidR="006978CE" w:rsidRPr="00E12714">
        <w:rPr>
          <w:rStyle w:val="Strong"/>
          <w:color w:val="444444"/>
        </w:rPr>
        <w:t xml:space="preserve"> take?</w:t>
      </w:r>
      <w:r w:rsidR="006978CE" w:rsidRPr="00E12714">
        <w:rPr>
          <w:color w:val="444444"/>
        </w:rPr>
        <w:br/>
      </w:r>
    </w:p>
    <w:p w14:paraId="7D256440" w14:textId="1108D2DA" w:rsidR="00504C4D" w:rsidRPr="00504C4D" w:rsidRDefault="00504C4D" w:rsidP="0091617C">
      <w:pPr>
        <w:rPr>
          <w:b/>
          <w:i/>
          <w:color w:val="444444"/>
        </w:rPr>
      </w:pPr>
      <w:r w:rsidRPr="00504C4D">
        <w:rPr>
          <w:b/>
          <w:i/>
          <w:color w:val="444444"/>
        </w:rPr>
        <w:t>Providers that receive an automatic payment:</w:t>
      </w:r>
    </w:p>
    <w:p w14:paraId="2746667D" w14:textId="77777777" w:rsidR="00504C4D" w:rsidRDefault="00504C4D" w:rsidP="0091617C">
      <w:pPr>
        <w:rPr>
          <w:color w:val="444444"/>
        </w:rPr>
      </w:pPr>
    </w:p>
    <w:p w14:paraId="1E06A638" w14:textId="5F167F7A" w:rsidR="00E12714" w:rsidRDefault="006978CE" w:rsidP="0091617C">
      <w:pPr>
        <w:rPr>
          <w:color w:val="444444"/>
        </w:rPr>
      </w:pPr>
      <w:r w:rsidRPr="00E12714">
        <w:rPr>
          <w:color w:val="444444"/>
        </w:rPr>
        <w:t xml:space="preserve">Within 30 days of receiving the payment, </w:t>
      </w:r>
      <w:r w:rsidR="00E12714">
        <w:rPr>
          <w:color w:val="444444"/>
        </w:rPr>
        <w:t>each recipient</w:t>
      </w:r>
      <w:r w:rsidRPr="00E12714">
        <w:rPr>
          <w:color w:val="444444"/>
        </w:rPr>
        <w:t xml:space="preserve"> must </w:t>
      </w:r>
      <w:hyperlink r:id="rId5" w:history="1">
        <w:r w:rsidRPr="00E12714">
          <w:rPr>
            <w:rStyle w:val="Hyperlink"/>
            <w:color w:val="444444"/>
          </w:rPr>
          <w:t>sign an attestation</w:t>
        </w:r>
      </w:hyperlink>
      <w:r w:rsidRPr="00E12714">
        <w:rPr>
          <w:color w:val="444444"/>
        </w:rPr>
        <w:t xml:space="preserve"> confirming receipt of the funds and agreeing to the terms and conditions of payment. </w:t>
      </w:r>
    </w:p>
    <w:p w14:paraId="6D448A13" w14:textId="77777777" w:rsidR="00E12714" w:rsidRDefault="00E12714" w:rsidP="0091617C">
      <w:pPr>
        <w:rPr>
          <w:color w:val="444444"/>
        </w:rPr>
      </w:pPr>
    </w:p>
    <w:p w14:paraId="4A9A7CFB" w14:textId="77777777" w:rsidR="00504C4D" w:rsidRDefault="006978CE" w:rsidP="0091617C">
      <w:pPr>
        <w:rPr>
          <w:color w:val="444444"/>
        </w:rPr>
      </w:pPr>
      <w:r w:rsidRPr="00E12714">
        <w:rPr>
          <w:color w:val="444444"/>
        </w:rPr>
        <w:t xml:space="preserve">Following attestation, </w:t>
      </w:r>
      <w:r w:rsidR="00E12714">
        <w:rPr>
          <w:color w:val="444444"/>
        </w:rPr>
        <w:t>the recipient</w:t>
      </w:r>
      <w:r w:rsidRPr="00E12714">
        <w:rPr>
          <w:color w:val="444444"/>
        </w:rPr>
        <w:t xml:space="preserve"> will be guided to a portal experience to</w:t>
      </w:r>
      <w:r w:rsidR="00A27620" w:rsidRPr="00E12714">
        <w:rPr>
          <w:color w:val="444444"/>
        </w:rPr>
        <w:t xml:space="preserve"> confirm any</w:t>
      </w:r>
      <w:r w:rsidR="00352265" w:rsidRPr="00E12714">
        <w:rPr>
          <w:color w:val="444444"/>
        </w:rPr>
        <w:t xml:space="preserve"> </w:t>
      </w:r>
      <w:r w:rsidR="00A27620" w:rsidRPr="00E12714">
        <w:rPr>
          <w:color w:val="444444"/>
        </w:rPr>
        <w:t xml:space="preserve">payments and submit </w:t>
      </w:r>
      <w:r w:rsidR="00E12714">
        <w:rPr>
          <w:color w:val="444444"/>
        </w:rPr>
        <w:t>its</w:t>
      </w:r>
      <w:r w:rsidR="00A27620" w:rsidRPr="00E12714">
        <w:rPr>
          <w:color w:val="444444"/>
        </w:rPr>
        <w:t xml:space="preserve"> revenue information.  </w:t>
      </w:r>
      <w:r w:rsidRPr="00E12714">
        <w:rPr>
          <w:color w:val="444444"/>
        </w:rPr>
        <w:t xml:space="preserve">Should </w:t>
      </w:r>
      <w:r w:rsidR="00E12714">
        <w:rPr>
          <w:color w:val="444444"/>
        </w:rPr>
        <w:t>the recipient</w:t>
      </w:r>
      <w:r w:rsidRPr="00E12714">
        <w:rPr>
          <w:color w:val="444444"/>
        </w:rPr>
        <w:t xml:space="preserve"> choose to </w:t>
      </w:r>
      <w:r w:rsidR="00E12714">
        <w:rPr>
          <w:color w:val="444444"/>
        </w:rPr>
        <w:t>decline</w:t>
      </w:r>
      <w:r w:rsidRPr="00E12714">
        <w:rPr>
          <w:color w:val="444444"/>
        </w:rPr>
        <w:t xml:space="preserve"> the funds, </w:t>
      </w:r>
      <w:r w:rsidR="00E12714">
        <w:rPr>
          <w:color w:val="444444"/>
        </w:rPr>
        <w:t>it</w:t>
      </w:r>
      <w:r w:rsidRPr="00E12714">
        <w:rPr>
          <w:color w:val="444444"/>
        </w:rPr>
        <w:t xml:space="preserve"> must also compl</w:t>
      </w:r>
      <w:r w:rsidR="00E12714">
        <w:rPr>
          <w:color w:val="444444"/>
        </w:rPr>
        <w:t>ete the attestation to so indicate</w:t>
      </w:r>
      <w:r w:rsidRPr="00E12714">
        <w:rPr>
          <w:color w:val="444444"/>
        </w:rPr>
        <w:t>. Not returning the payment within 30 days of receipt will be viewed as acceptance of the Terms and Conditions.</w:t>
      </w:r>
      <w:r w:rsidR="0091617C" w:rsidRPr="00E12714">
        <w:rPr>
          <w:color w:val="444444"/>
        </w:rPr>
        <w:br/>
      </w:r>
    </w:p>
    <w:p w14:paraId="1D911E1D" w14:textId="79152275" w:rsidR="00504C4D" w:rsidRPr="00DF37AE" w:rsidRDefault="00504C4D" w:rsidP="0091617C">
      <w:pPr>
        <w:rPr>
          <w:b/>
          <w:i/>
          <w:color w:val="444444"/>
        </w:rPr>
      </w:pPr>
      <w:r w:rsidRPr="00DF37AE">
        <w:rPr>
          <w:b/>
          <w:i/>
          <w:color w:val="444444"/>
        </w:rPr>
        <w:t xml:space="preserve">Providers that </w:t>
      </w:r>
      <w:r w:rsidRPr="00DF37AE">
        <w:rPr>
          <w:b/>
          <w:i/>
          <w:color w:val="444444"/>
          <w:u w:val="single"/>
        </w:rPr>
        <w:t>do not</w:t>
      </w:r>
      <w:r w:rsidRPr="00DF37AE">
        <w:rPr>
          <w:b/>
          <w:i/>
          <w:color w:val="444444"/>
        </w:rPr>
        <w:t xml:space="preserve"> receive an automatic payment:</w:t>
      </w:r>
    </w:p>
    <w:p w14:paraId="3AD7DED0" w14:textId="068B923B" w:rsidR="00504C4D" w:rsidRPr="00DF37AE" w:rsidRDefault="00504C4D" w:rsidP="0091617C">
      <w:pPr>
        <w:rPr>
          <w:color w:val="444444"/>
        </w:rPr>
      </w:pPr>
    </w:p>
    <w:p w14:paraId="33758B8B" w14:textId="5FB4F5E7" w:rsidR="00504C4D" w:rsidRPr="00C508E2" w:rsidRDefault="00C508E2" w:rsidP="0091617C">
      <w:pPr>
        <w:rPr>
          <w:color w:val="444444"/>
          <w:u w:val="single"/>
        </w:rPr>
      </w:pPr>
      <w:r w:rsidRPr="000A0EAA">
        <w:rPr>
          <w:color w:val="444444"/>
        </w:rPr>
        <w:t xml:space="preserve">Providers that do not receive an automatic payment should go to the Provider Relief portal </w:t>
      </w:r>
      <w:r w:rsidR="003516DC" w:rsidRPr="000A0EAA">
        <w:rPr>
          <w:color w:val="444444"/>
        </w:rPr>
        <w:t>linked from</w:t>
      </w:r>
      <w:r w:rsidR="00C37990">
        <w:rPr>
          <w:color w:val="444444"/>
        </w:rPr>
        <w:t xml:space="preserve"> </w:t>
      </w:r>
      <w:hyperlink r:id="rId6" w:history="1">
        <w:r w:rsidRPr="000A0EAA">
          <w:rPr>
            <w:rStyle w:val="Hyperlink"/>
            <w:color w:val="0070C0"/>
          </w:rPr>
          <w:t>hhs.gov/</w:t>
        </w:r>
        <w:proofErr w:type="spellStart"/>
        <w:r w:rsidRPr="000A0EAA">
          <w:rPr>
            <w:rStyle w:val="Hyperlink"/>
            <w:color w:val="0070C0"/>
          </w:rPr>
          <w:t>providerrelief</w:t>
        </w:r>
        <w:proofErr w:type="spellEnd"/>
      </w:hyperlink>
      <w:r w:rsidRPr="000A0EAA">
        <w:rPr>
          <w:color w:val="444444"/>
        </w:rPr>
        <w:t xml:space="preserve"> and follow the instructions provided on how to claim the second general distribution.  </w:t>
      </w:r>
      <w:r w:rsidR="00DF37AE" w:rsidRPr="000A0EAA">
        <w:rPr>
          <w:color w:val="444444"/>
        </w:rPr>
        <w:t xml:space="preserve">The portal will be available beginning 5:00 p.m. ET, Friday, April 24.  </w:t>
      </w:r>
      <w:r w:rsidRPr="000A0EAA">
        <w:rPr>
          <w:color w:val="444444"/>
          <w:u w:val="single"/>
        </w:rPr>
        <w:t>Remember, a facility or provider must have a Medicare billing TIN in order to qualify for this payment.</w:t>
      </w:r>
    </w:p>
    <w:p w14:paraId="0C08A3B7" w14:textId="23B97A2F" w:rsidR="006978CE" w:rsidRPr="00E12714" w:rsidRDefault="006978CE" w:rsidP="0091617C">
      <w:pPr>
        <w:rPr>
          <w:color w:val="444444"/>
        </w:rPr>
      </w:pPr>
      <w:r w:rsidRPr="00E12714">
        <w:rPr>
          <w:color w:val="444444"/>
        </w:rPr>
        <w:br/>
      </w:r>
      <w:r w:rsidRPr="00E12714">
        <w:rPr>
          <w:rStyle w:val="Strong"/>
          <w:color w:val="444444"/>
        </w:rPr>
        <w:t xml:space="preserve">Whom can </w:t>
      </w:r>
      <w:r w:rsidR="00E12714">
        <w:rPr>
          <w:rStyle w:val="Strong"/>
          <w:color w:val="444444"/>
        </w:rPr>
        <w:t>recipients</w:t>
      </w:r>
      <w:r w:rsidRPr="00E12714">
        <w:rPr>
          <w:rStyle w:val="Strong"/>
          <w:color w:val="444444"/>
        </w:rPr>
        <w:t xml:space="preserve"> contact for more information?</w:t>
      </w:r>
      <w:r w:rsidRPr="00E12714">
        <w:rPr>
          <w:color w:val="444444"/>
        </w:rPr>
        <w:br/>
        <w:t xml:space="preserve">For additional information, </w:t>
      </w:r>
      <w:r w:rsidR="00E12714">
        <w:rPr>
          <w:color w:val="444444"/>
        </w:rPr>
        <w:t>recipients should</w:t>
      </w:r>
      <w:r w:rsidRPr="00E12714">
        <w:rPr>
          <w:color w:val="444444"/>
        </w:rPr>
        <w:t xml:space="preserve"> visit </w:t>
      </w:r>
      <w:hyperlink r:id="rId7" w:history="1">
        <w:r w:rsidRPr="00E12714">
          <w:rPr>
            <w:rStyle w:val="Hyperlink"/>
            <w:color w:val="0070C0"/>
          </w:rPr>
          <w:t>hhs.gov/</w:t>
        </w:r>
        <w:proofErr w:type="spellStart"/>
        <w:r w:rsidRPr="00E12714">
          <w:rPr>
            <w:rStyle w:val="Hyperlink"/>
            <w:color w:val="0070C0"/>
          </w:rPr>
          <w:t>providerrelie</w:t>
        </w:r>
        <w:r w:rsidRPr="00504C4D">
          <w:rPr>
            <w:rStyle w:val="Hyperlink"/>
            <w:color w:val="0070C0"/>
          </w:rPr>
          <w:t>f</w:t>
        </w:r>
        <w:proofErr w:type="spellEnd"/>
      </w:hyperlink>
      <w:r w:rsidRPr="00504C4D">
        <w:rPr>
          <w:rStyle w:val="Hyperlink"/>
          <w:color w:val="0070C0"/>
        </w:rPr>
        <w:t xml:space="preserve"> </w:t>
      </w:r>
      <w:r w:rsidRPr="00E12714">
        <w:rPr>
          <w:color w:val="444444"/>
        </w:rPr>
        <w:t>or call the CARES Provider Relief line at (866) 569-3522.</w:t>
      </w:r>
      <w:r w:rsidRPr="00E12714">
        <w:rPr>
          <w:color w:val="444444"/>
        </w:rPr>
        <w:br/>
      </w:r>
    </w:p>
    <w:p w14:paraId="6F8072E5" w14:textId="77777777" w:rsidR="00BE4E7B" w:rsidRPr="00B43B70" w:rsidRDefault="00BE4E7B" w:rsidP="00B43B70">
      <w:pPr>
        <w:rPr>
          <w:rFonts w:ascii="Arial" w:hAnsi="Arial" w:cs="Arial"/>
          <w:color w:val="444444"/>
          <w:sz w:val="21"/>
          <w:szCs w:val="21"/>
        </w:rPr>
      </w:pPr>
    </w:p>
    <w:sectPr w:rsidR="00BE4E7B" w:rsidRPr="00B43B70" w:rsidSect="00E12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CE"/>
    <w:rsid w:val="00002B36"/>
    <w:rsid w:val="000A0EAA"/>
    <w:rsid w:val="000F1573"/>
    <w:rsid w:val="000F633B"/>
    <w:rsid w:val="00107993"/>
    <w:rsid w:val="00184271"/>
    <w:rsid w:val="001C564F"/>
    <w:rsid w:val="003516DC"/>
    <w:rsid w:val="00352265"/>
    <w:rsid w:val="004937AD"/>
    <w:rsid w:val="00504C4D"/>
    <w:rsid w:val="00534432"/>
    <w:rsid w:val="005E3024"/>
    <w:rsid w:val="00614E67"/>
    <w:rsid w:val="00650864"/>
    <w:rsid w:val="006978CE"/>
    <w:rsid w:val="006B60C8"/>
    <w:rsid w:val="00746C2D"/>
    <w:rsid w:val="0076394F"/>
    <w:rsid w:val="007B1468"/>
    <w:rsid w:val="008E34A1"/>
    <w:rsid w:val="008F3F66"/>
    <w:rsid w:val="0091617C"/>
    <w:rsid w:val="009D1295"/>
    <w:rsid w:val="00A02A23"/>
    <w:rsid w:val="00A04F46"/>
    <w:rsid w:val="00A24ECF"/>
    <w:rsid w:val="00A27620"/>
    <w:rsid w:val="00A643AE"/>
    <w:rsid w:val="00A71D00"/>
    <w:rsid w:val="00B43B70"/>
    <w:rsid w:val="00BE4E7B"/>
    <w:rsid w:val="00C357AD"/>
    <w:rsid w:val="00C37990"/>
    <w:rsid w:val="00C508E2"/>
    <w:rsid w:val="00C51A5F"/>
    <w:rsid w:val="00D23BAC"/>
    <w:rsid w:val="00DF37AE"/>
    <w:rsid w:val="00E12714"/>
    <w:rsid w:val="00E864AA"/>
    <w:rsid w:val="00F077D0"/>
    <w:rsid w:val="00FF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91E3"/>
  <w15:chartTrackingRefBased/>
  <w15:docId w15:val="{1FC6AE70-BDE3-4F3F-8343-809B172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78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8CE"/>
    <w:rPr>
      <w:color w:val="000000"/>
      <w:u w:val="single"/>
    </w:rPr>
  </w:style>
  <w:style w:type="character" w:styleId="Strong">
    <w:name w:val="Strong"/>
    <w:basedOn w:val="DefaultParagraphFont"/>
    <w:uiPriority w:val="22"/>
    <w:qFormat/>
    <w:rsid w:val="006978CE"/>
    <w:rPr>
      <w:b/>
      <w:bCs/>
    </w:rPr>
  </w:style>
  <w:style w:type="character" w:styleId="CommentReference">
    <w:name w:val="annotation reference"/>
    <w:basedOn w:val="DefaultParagraphFont"/>
    <w:uiPriority w:val="99"/>
    <w:semiHidden/>
    <w:unhideWhenUsed/>
    <w:rsid w:val="006B60C8"/>
    <w:rPr>
      <w:sz w:val="16"/>
      <w:szCs w:val="16"/>
    </w:rPr>
  </w:style>
  <w:style w:type="paragraph" w:styleId="CommentText">
    <w:name w:val="annotation text"/>
    <w:basedOn w:val="Normal"/>
    <w:link w:val="CommentTextChar"/>
    <w:uiPriority w:val="99"/>
    <w:semiHidden/>
    <w:unhideWhenUsed/>
    <w:rsid w:val="006B60C8"/>
    <w:rPr>
      <w:sz w:val="20"/>
      <w:szCs w:val="20"/>
    </w:rPr>
  </w:style>
  <w:style w:type="character" w:customStyle="1" w:styleId="CommentTextChar">
    <w:name w:val="Comment Text Char"/>
    <w:basedOn w:val="DefaultParagraphFont"/>
    <w:link w:val="CommentText"/>
    <w:uiPriority w:val="99"/>
    <w:semiHidden/>
    <w:rsid w:val="006B60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60C8"/>
    <w:rPr>
      <w:b/>
      <w:bCs/>
    </w:rPr>
  </w:style>
  <w:style w:type="character" w:customStyle="1" w:styleId="CommentSubjectChar">
    <w:name w:val="Comment Subject Char"/>
    <w:basedOn w:val="CommentTextChar"/>
    <w:link w:val="CommentSubject"/>
    <w:uiPriority w:val="99"/>
    <w:semiHidden/>
    <w:rsid w:val="006B60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B6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0C8"/>
    <w:rPr>
      <w:rFonts w:ascii="Segoe UI" w:hAnsi="Segoe UI" w:cs="Segoe UI"/>
      <w:sz w:val="18"/>
      <w:szCs w:val="18"/>
    </w:rPr>
  </w:style>
  <w:style w:type="character" w:styleId="FollowedHyperlink">
    <w:name w:val="FollowedHyperlink"/>
    <w:basedOn w:val="DefaultParagraphFont"/>
    <w:uiPriority w:val="99"/>
    <w:semiHidden/>
    <w:unhideWhenUsed/>
    <w:rsid w:val="00504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ck.yourhealth-wellnessteam.com/?qs=e26fc4905b43a5da92eb6d37e495d0274146a597c457844048f99eba92eda0a8fdeb4291a9c4476f2095c5887d68b46c7fc8ad080801d8e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ick.yourhealth-wellnessteam.com/?qs=e26fc4905b43a5da92eb6d37e495d0274146a597c457844048f99eba92eda0a8fdeb4291a9c4476f2095c5887d68b46c7fc8ad080801d8e4" TargetMode="External"/><Relationship Id="rId5" Type="http://schemas.openxmlformats.org/officeDocument/2006/relationships/hyperlink" Target="http://www.covid19.linkhealt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576C-EFA2-4527-8C0A-E0711089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Reller, Tami</dc:creator>
  <cp:keywords/>
  <dc:description/>
  <cp:lastModifiedBy>Matt LoFiego</cp:lastModifiedBy>
  <cp:revision>2</cp:revision>
  <cp:lastPrinted>2020-04-24T12:23:00Z</cp:lastPrinted>
  <dcterms:created xsi:type="dcterms:W3CDTF">2020-04-27T14:07:00Z</dcterms:created>
  <dcterms:modified xsi:type="dcterms:W3CDTF">2020-04-27T14:07:00Z</dcterms:modified>
</cp:coreProperties>
</file>